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ahoma" w:hAnsi="Tahoma" w:cs="Tahoma"/>
          <w:kern w:val="0"/>
          <w:sz w:val="24"/>
          <w:szCs w:val="24"/>
        </w:rPr>
      </w:pPr>
      <w:r>
        <w:rPr>
          <w:rFonts w:cs="Tahoma" w:ascii="Tahoma" w:hAnsi="Tahoma"/>
          <w:kern w:val="0"/>
          <w:sz w:val="24"/>
          <w:szCs w:val="24"/>
        </w:rPr>
        <w:t>OGGETTO: APPROVAZIONE DEL RENDICONTO DI GESTIONE ANNO 2022</w:t>
      </w:r>
    </w:p>
    <w:p>
      <w:pPr>
        <w:pStyle w:val="Normal"/>
        <w:spacing w:lineRule="auto" w:line="240" w:before="0" w:after="0"/>
        <w:jc w:val="both"/>
        <w:rPr>
          <w:rFonts w:ascii="Arial-BoldMT" w:hAnsi="Arial-BoldMT" w:cs="Arial-BoldMT"/>
          <w:b/>
          <w:b/>
          <w:bCs/>
          <w:kern w:val="0"/>
          <w:sz w:val="24"/>
          <w:szCs w:val="24"/>
        </w:rPr>
      </w:pPr>
      <w:r>
        <w:rPr>
          <w:rFonts w:cs="Arial-BoldMT" w:ascii="Arial-BoldMT" w:hAnsi="Arial-BoldMT"/>
          <w:b/>
          <w:bCs/>
          <w:kern w:val="0"/>
          <w:sz w:val="24"/>
          <w:szCs w:val="24"/>
        </w:rPr>
      </w:r>
    </w:p>
    <w:p>
      <w:pPr>
        <w:pStyle w:val="Normal"/>
        <w:spacing w:lineRule="auto" w:line="240" w:before="0" w:after="0"/>
        <w:jc w:val="center"/>
        <w:rPr>
          <w:rFonts w:ascii="Arial-BoldMT" w:hAnsi="Arial-BoldMT" w:cs="Arial-BoldMT"/>
          <w:b/>
          <w:b/>
          <w:bCs/>
          <w:kern w:val="0"/>
          <w:sz w:val="24"/>
          <w:szCs w:val="24"/>
        </w:rPr>
      </w:pPr>
      <w:r>
        <w:rPr>
          <w:rFonts w:cs="Arial-BoldMT" w:ascii="Arial-BoldMT" w:hAnsi="Arial-BoldMT"/>
          <w:b/>
          <w:bCs/>
          <w:kern w:val="0"/>
          <w:sz w:val="24"/>
          <w:szCs w:val="24"/>
        </w:rPr>
        <w:t>IL CONSIGLIO COMUNALE</w:t>
      </w:r>
    </w:p>
    <w:p>
      <w:pPr>
        <w:pStyle w:val="Normal"/>
        <w:spacing w:lineRule="auto" w:line="240" w:before="0" w:after="0"/>
        <w:jc w:val="both"/>
        <w:rPr>
          <w:rFonts w:ascii="Arial-BoldMT" w:hAnsi="Arial-BoldMT" w:cs="Arial-BoldMT"/>
          <w:b/>
          <w:b/>
          <w:bCs/>
          <w:kern w:val="0"/>
          <w:sz w:val="24"/>
          <w:szCs w:val="24"/>
        </w:rPr>
      </w:pPr>
      <w:r>
        <w:rPr>
          <w:rFonts w:cs="Arial-BoldMT" w:ascii="Arial-BoldMT" w:hAnsi="Arial-BoldMT"/>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Premesso </w:t>
      </w:r>
      <w:r>
        <w:rPr>
          <w:rFonts w:cs="DejaVuSans" w:ascii="DejaVuSans" w:hAnsi="DejaVuSans"/>
          <w:kern w:val="0"/>
          <w:sz w:val="24"/>
          <w:szCs w:val="24"/>
        </w:rPr>
        <w:t>che: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la rilevazione e la dimostrazione dei risultati di gestione è regolata dal decreto legislativo n. 267/2000 con le disposizioni di cui al Titolo VI e dal decreto legislativo n. 118/2011 con le disposizioni di cui all’articolo 11, commi 4, 5, 6, 10;</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al 01/01/2022 la popolazione residente era pari a 1065 abitanti;</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t>Visto:</w:t>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 </w:t>
      </w:r>
      <w:r>
        <w:rPr>
          <w:rFonts w:cs="DejaVuSans" w:ascii="DejaVuSans" w:hAnsi="DejaVuSans"/>
          <w:kern w:val="0"/>
          <w:sz w:val="24"/>
          <w:szCs w:val="24"/>
        </w:rPr>
        <w:t>l’art. 227, comma 1, del decreto legislativo 18.08.2000 n. 267, così come modificato dal decreto legislativo n. 118/2011, a sua volta integrato dal decreto legislativo n. 126/2014, per il quale:</w:t>
      </w:r>
    </w:p>
    <w:p>
      <w:pPr>
        <w:pStyle w:val="Normal"/>
        <w:spacing w:lineRule="auto" w:line="240" w:before="0" w:after="0"/>
        <w:jc w:val="both"/>
        <w:rPr>
          <w:rFonts w:ascii="DejaVuSans-Oblique" w:hAnsi="DejaVuSans-Oblique" w:cs="DejaVuSans-Oblique"/>
          <w:i/>
          <w:i/>
          <w:iCs/>
          <w:kern w:val="0"/>
          <w:sz w:val="24"/>
          <w:szCs w:val="24"/>
        </w:rPr>
      </w:pPr>
      <w:r>
        <w:rPr>
          <w:rFonts w:cs="DejaVuSans-Oblique" w:ascii="DejaVuSans-Oblique" w:hAnsi="DejaVuSans-Oblique"/>
          <w:i/>
          <w:iCs/>
          <w:kern w:val="0"/>
          <w:sz w:val="24"/>
          <w:szCs w:val="24"/>
        </w:rPr>
        <w:t>“</w:t>
      </w:r>
      <w:r>
        <w:rPr>
          <w:rFonts w:cs="DejaVuSans-Oblique" w:ascii="DejaVuSans-Oblique" w:hAnsi="DejaVuSans-Oblique"/>
          <w:i/>
          <w:iCs/>
          <w:kern w:val="0"/>
          <w:sz w:val="24"/>
          <w:szCs w:val="24"/>
        </w:rPr>
        <w:t>La dimostrazione dei risultati di gestione avviene mediante il rendiconto della gestione, il quale comprende il conto del bilancio, il conto economico e lo stato patrimoniale”;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l’art. 232, comma 2, del decreto legislativo 18.08.2000 n. 267, così come modificato dal decreto legislativo n. 118/2011, a sua volta integrato dal decreto legislativo n. 126/2014 e dal decreto legge n° 34/2019, per il quale:</w:t>
      </w:r>
    </w:p>
    <w:p>
      <w:pPr>
        <w:pStyle w:val="Normal"/>
        <w:spacing w:lineRule="auto" w:line="240" w:before="0" w:after="0"/>
        <w:jc w:val="both"/>
        <w:rPr>
          <w:rFonts w:ascii="DejaVuSans-Oblique" w:hAnsi="DejaVuSans-Oblique" w:cs="DejaVuSans-Oblique"/>
          <w:i/>
          <w:i/>
          <w:iCs/>
          <w:kern w:val="0"/>
          <w:sz w:val="24"/>
          <w:szCs w:val="24"/>
        </w:rPr>
      </w:pPr>
      <w:r>
        <w:rPr>
          <w:rFonts w:cs="DejaVuSans-Oblique" w:ascii="DejaVuSans-Oblique" w:hAnsi="DejaVuSans-Oblique"/>
          <w:i/>
          <w:iCs/>
          <w:kern w:val="0"/>
          <w:sz w:val="24"/>
          <w:szCs w:val="24"/>
        </w:rPr>
        <w:t>“</w:t>
      </w:r>
      <w:r>
        <w:rPr>
          <w:rFonts w:cs="DejaVuSans-Oblique" w:ascii="DejaVuSans-Oblique" w:hAnsi="DejaVuSans-Oblique"/>
          <w:i/>
          <w:iCs/>
          <w:kern w:val="0"/>
          <w:sz w:val="24"/>
          <w:szCs w:val="24"/>
        </w:rPr>
        <w:t>Gli enti locali con popolazione inferiore a 5.000 abitanti possono non tenere la contabilità economico-patrimoniale. Gli enti locali che optano per la facoltà di cui al primo periodo allegano al rendiconto una situazione patrimoniale al 31 dicembre dell'anno precedente redatta secondo lo schema di cui all'allegato n. 10 al decreto legislativo 23 giugno 2011, n. 118, e con modalità semplificate individuate con decreto del Ministero dell'economia e delle finanze, di concerto con il Ministero dell'interno e con la Presidenza del Consiglio dei ministri - Dipartimento per gli affari regionali, da emanare entro il 31 ottobre 2019, anche sulla base delle proposte formulate dalla Commissione per l'armonizzazione degli enti territoriali, istituita ai sensi dell'articolo 3-bis del citato decreto legislativo n. 118 del 2011”;</w:t>
      </w:r>
    </w:p>
    <w:p>
      <w:pPr>
        <w:pStyle w:val="Normal"/>
        <w:spacing w:lineRule="auto" w:line="240" w:before="0" w:after="0"/>
        <w:jc w:val="both"/>
        <w:rPr>
          <w:rFonts w:ascii="DejaVuSans-Oblique" w:hAnsi="DejaVuSans-Oblique" w:cs="DejaVuSans-Oblique"/>
          <w:i/>
          <w:i/>
          <w:iCs/>
          <w:kern w:val="0"/>
          <w:sz w:val="24"/>
          <w:szCs w:val="24"/>
        </w:rPr>
      </w:pPr>
      <w:r>
        <w:rPr>
          <w:rFonts w:cs="DejaVuSans-Oblique" w:ascii="DejaVuSans-Oblique" w:hAnsi="DejaVuSans-Oblique"/>
          <w:i/>
          <w:i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Rilevato che  </w:t>
      </w:r>
      <w:r>
        <w:rPr>
          <w:rFonts w:cs="DejaVuSans" w:ascii="DejaVuSans" w:hAnsi="DejaVuSans"/>
          <w:kern w:val="0"/>
          <w:sz w:val="24"/>
          <w:szCs w:val="24"/>
        </w:rPr>
        <w:t>l’amministrazione comunale ha esercitato l’opzione ex articolo 232 comma secondo del TUEL (Stato Patrimoniale Semplificato) e ha preso atto dell’esercizio dell’opzione ex articolo 233 bis comma terzo TUEL (Esenzione Redazione Bilancio Consolidato) ed intende esercitarne entrambe;</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Visto </w:t>
      </w:r>
      <w:r>
        <w:rPr>
          <w:rFonts w:cs="DejaVuSans" w:ascii="DejaVuSans" w:hAnsi="DejaVuSans"/>
          <w:kern w:val="0"/>
          <w:sz w:val="24"/>
          <w:szCs w:val="24"/>
        </w:rPr>
        <w:t>l’art. 11, comma 4, del D. Lgs. N. 118/2011, che definisce i prospetti obbligatori da allegare al rendiconto della gestione;</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t>Richiamati:</w:t>
      </w:r>
    </w:p>
    <w:p>
      <w:pPr>
        <w:pStyle w:val="Normal"/>
        <w:spacing w:lineRule="auto" w:line="240" w:before="0" w:after="0"/>
        <w:jc w:val="both"/>
        <w:rPr>
          <w:rFonts w:ascii="DejaVuSans-Oblique" w:hAnsi="DejaVuSans-Oblique" w:cs="DejaVuSans-Oblique"/>
          <w:i/>
          <w:i/>
          <w:iCs/>
          <w:kern w:val="0"/>
          <w:sz w:val="24"/>
          <w:szCs w:val="24"/>
        </w:rPr>
      </w:pPr>
      <w:r>
        <w:rPr>
          <w:rFonts w:cs="DejaVuSans-Bold" w:ascii="DejaVuSans-Bold" w:hAnsi="DejaVuSans-Bold"/>
          <w:b/>
          <w:bCs/>
          <w:kern w:val="0"/>
          <w:sz w:val="24"/>
          <w:szCs w:val="24"/>
        </w:rPr>
        <w:t xml:space="preserve">- </w:t>
      </w:r>
      <w:r>
        <w:rPr>
          <w:rFonts w:cs="DejaVuSans" w:ascii="DejaVuSans" w:hAnsi="DejaVuSans"/>
          <w:kern w:val="0"/>
          <w:sz w:val="24"/>
          <w:szCs w:val="24"/>
        </w:rPr>
        <w:t>gli artt. 151, comma 5, e 227, comma 1, del decreto legislativo 18.08.2000 n. 267</w:t>
      </w:r>
      <w:r>
        <w:rPr>
          <w:rFonts w:cs="DejaVuSans-Oblique" w:ascii="DejaVuSans-Oblique" w:hAnsi="DejaVuSans-Oblique"/>
          <w:i/>
          <w:iCs/>
          <w:kern w:val="0"/>
          <w:sz w:val="24"/>
          <w:szCs w:val="24"/>
        </w:rPr>
        <w:t>;</w:t>
      </w:r>
    </w:p>
    <w:p>
      <w:pPr>
        <w:pStyle w:val="Normal"/>
        <w:spacing w:lineRule="auto" w:line="240" w:before="0" w:after="0"/>
        <w:jc w:val="both"/>
        <w:rPr>
          <w:rFonts w:ascii="DejaVuSans" w:hAnsi="DejaVuSans" w:cs="DejaVuSans"/>
          <w:kern w:val="0"/>
          <w:sz w:val="24"/>
          <w:szCs w:val="24"/>
        </w:rPr>
      </w:pPr>
      <w:r>
        <w:rPr>
          <w:rFonts w:cs="DejaVuSans-Oblique" w:ascii="DejaVuSans-Oblique" w:hAnsi="DejaVuSans-Oblique"/>
          <w:i/>
          <w:iCs/>
          <w:kern w:val="0"/>
          <w:sz w:val="24"/>
          <w:szCs w:val="24"/>
        </w:rPr>
        <w:t xml:space="preserve">- </w:t>
      </w:r>
      <w:r>
        <w:rPr>
          <w:rFonts w:cs="DejaVuSans" w:ascii="DejaVuSans" w:hAnsi="DejaVuSans"/>
          <w:kern w:val="0"/>
          <w:sz w:val="24"/>
          <w:szCs w:val="24"/>
        </w:rPr>
        <w:t>l’art. 2-quater del decreto legge n. 154/2008 che, modificando il comma 2 dell’art. 227 sopra citato, ha fissato la data del 30 aprile quale data di rendiconto da parte dell’organo consigliare.</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Richiamati, </w:t>
      </w:r>
      <w:r>
        <w:rPr>
          <w:rFonts w:cs="DejaVuSans" w:ascii="DejaVuSans" w:hAnsi="DejaVuSans"/>
          <w:kern w:val="0"/>
          <w:sz w:val="24"/>
          <w:szCs w:val="24"/>
        </w:rPr>
        <w:t>in particolare, l’art 151, comma 6, e il rinnovato art. 231 del decreto legislativo 18.08.2000 n. 267, per i quali al rendiconto è allegata una relazione della giunta sulla gestione, che esprime le valutazioni di efficacia dell’azione condotta sulla base dei risultati conseguiti;</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Richiamato </w:t>
      </w:r>
      <w:r>
        <w:rPr>
          <w:rFonts w:cs="DejaVuSans" w:ascii="DejaVuSans" w:hAnsi="DejaVuSans"/>
          <w:kern w:val="0"/>
          <w:sz w:val="24"/>
          <w:szCs w:val="24"/>
        </w:rPr>
        <w:t>inoltre il principio contabile concernente la contabilità finanziaria e il principio contabile concernente la contabilità economico-patrimoniale degli enti in contabilità finanziaria, rispettivamente allegato n. 4/2 ed allegato n. 4/3 al D.Lgs. n. 118/2011;</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Preso atto </w:t>
      </w:r>
      <w:r>
        <w:rPr>
          <w:rFonts w:cs="DejaVuSans" w:ascii="DejaVuSans" w:hAnsi="DejaVuSans"/>
          <w:kern w:val="0"/>
          <w:sz w:val="24"/>
          <w:szCs w:val="24"/>
        </w:rPr>
        <w:t>che i modelli relativi al conto del bilancio e alla situazione patrimoniale semplificata sono predisposti secondo lo schema di cui all’allegato n.10 al decreto legislativo 23 giugno 2011, n. 118, e successive modificazioni;</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Vista </w:t>
      </w:r>
      <w:r>
        <w:rPr>
          <w:rFonts w:cs="DejaVuSans" w:ascii="DejaVuSans" w:hAnsi="DejaVuSans"/>
          <w:kern w:val="0"/>
          <w:sz w:val="24"/>
          <w:szCs w:val="24"/>
        </w:rPr>
        <w:t>la deliberazione della Giunta comunale n. 41 del 04/052023 con la quale è stato effettuato il riaccertamento ordinario dei residui attivi e passivi relativi all’esercizio finanziario 2022 e agli anni precedenti;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r>
    </w:p>
    <w:p>
      <w:pPr>
        <w:pStyle w:val="Normal"/>
        <w:spacing w:lineRule="auto" w:line="240" w:before="0" w:after="0"/>
        <w:jc w:val="both"/>
        <w:rPr>
          <w:rFonts w:ascii="DejaVuSans" w:hAnsi="DejaVuSans" w:cs="DejaVuSans"/>
          <w:kern w:val="0"/>
          <w:sz w:val="24"/>
          <w:szCs w:val="24"/>
        </w:rPr>
      </w:pPr>
      <w:r>
        <w:rPr>
          <w:rFonts w:cs="DejaVuSans" w:ascii="DejaVuSans" w:hAnsi="DejaVuSans"/>
          <w:b/>
          <w:bCs/>
          <w:kern w:val="0"/>
          <w:sz w:val="24"/>
          <w:szCs w:val="24"/>
        </w:rPr>
        <w:t>Vista</w:t>
      </w:r>
      <w:r>
        <w:rPr>
          <w:rFonts w:cs="DejaVuSans" w:ascii="DejaVuSans" w:hAnsi="DejaVuSans"/>
          <w:kern w:val="0"/>
          <w:sz w:val="24"/>
          <w:szCs w:val="24"/>
        </w:rPr>
        <w:t xml:space="preserve"> la Deliberazione di Consiglio n. 30 del 29/07/2023 con la quale si è approvata la variazione di bilancio in oggetto e si è dato atto della verifica dell’equilibrio e della salvaguardia del bilancio 2022;</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r>
    </w:p>
    <w:p>
      <w:pPr>
        <w:pStyle w:val="Normal"/>
        <w:spacing w:lineRule="auto" w:line="240" w:before="0" w:after="0"/>
        <w:jc w:val="both"/>
        <w:rPr>
          <w:rFonts w:ascii="DejaVuSans" w:hAnsi="DejaVuSans" w:cs="DejaVuSans"/>
          <w:kern w:val="0"/>
          <w:sz w:val="24"/>
          <w:szCs w:val="24"/>
        </w:rPr>
      </w:pPr>
      <w:r>
        <w:rPr>
          <w:rFonts w:cs="DejaVuSans" w:ascii="DejaVuSans" w:hAnsi="DejaVuSans"/>
          <w:b/>
          <w:bCs/>
          <w:kern w:val="0"/>
          <w:sz w:val="24"/>
          <w:szCs w:val="24"/>
        </w:rPr>
        <w:t>Atteso</w:t>
      </w:r>
      <w:r>
        <w:rPr>
          <w:rFonts w:cs="DejaVuSans" w:ascii="DejaVuSans" w:hAnsi="DejaVuSans"/>
          <w:kern w:val="0"/>
          <w:sz w:val="24"/>
          <w:szCs w:val="24"/>
        </w:rPr>
        <w:t xml:space="preserve"> che con deliberazione di giunta n. 42 del 04/05/2023 con la quale è stato approvato il rendiconto della gestione 2022;   </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Preso atto </w:t>
      </w:r>
      <w:r>
        <w:rPr>
          <w:rFonts w:cs="DejaVuSans" w:ascii="DejaVuSans" w:hAnsi="DejaVuSans"/>
          <w:kern w:val="0"/>
          <w:sz w:val="24"/>
          <w:szCs w:val="24"/>
        </w:rPr>
        <w:t>che il Tesoriere dell’Ente e gli agenti contabili interni ed esterni hanno reso il conto della propria gestione relativa all’esercizio finanziario 2022 ai sensi dell’art. 226 del citato D.Lgs. n. 267/2000;</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Accertato </w:t>
      </w:r>
      <w:r>
        <w:rPr>
          <w:rFonts w:cs="DejaVuSans" w:ascii="DejaVuSans" w:hAnsi="DejaVuSans"/>
          <w:kern w:val="0"/>
          <w:sz w:val="24"/>
          <w:szCs w:val="24"/>
        </w:rPr>
        <w:t>che i risultati della gestione di cassa del Tesoriere concordano con le scritture contabili dell’Ente e con le registrazioni SIOPE, come da tabelle allegate;</w:t>
      </w:r>
    </w:p>
    <w:p>
      <w:pPr>
        <w:pStyle w:val="Normal"/>
        <w:spacing w:lineRule="auto" w:line="240" w:before="0" w:after="0"/>
        <w:jc w:val="both"/>
        <w:rPr>
          <w:rFonts w:ascii="Arial" w:hAnsi="Arial" w:cs="Arial"/>
          <w:kern w:val="0"/>
          <w:sz w:val="24"/>
          <w:szCs w:val="24"/>
        </w:rPr>
      </w:pPr>
      <w:r>
        <w:rPr>
          <w:rFonts w:cs="Arial" w:ascii="Arial" w:hAnsi="Arial"/>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Preso atto </w:t>
      </w:r>
      <w:r>
        <w:rPr>
          <w:rFonts w:cs="DejaVuSans" w:ascii="DejaVuSans" w:hAnsi="DejaVuSans"/>
          <w:kern w:val="0"/>
          <w:sz w:val="24"/>
          <w:szCs w:val="24"/>
        </w:rPr>
        <w:t>altresì che al conto del bilancio sono annessi tabella dei parametri di riscontro della situazione di deficitarietà strutturale e il piano degli indicatori e dei risultati di bilancio, di cui all’art. 227 comma 5 del D.Lgs. 267/2000 nonché gli altri allegati obbligatori secondo le vigenti normative;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Esaminato </w:t>
      </w:r>
      <w:r>
        <w:rPr>
          <w:rFonts w:cs="DejaVuSans" w:ascii="DejaVuSans" w:hAnsi="DejaVuSans"/>
          <w:kern w:val="0"/>
          <w:sz w:val="24"/>
          <w:szCs w:val="24"/>
        </w:rPr>
        <w:t>il rendiconto dell’esercizio finanziario 2022;</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Visto </w:t>
      </w:r>
      <w:r>
        <w:rPr>
          <w:rFonts w:cs="DejaVuSans" w:ascii="DejaVuSans" w:hAnsi="DejaVuSans"/>
          <w:kern w:val="0"/>
          <w:sz w:val="24"/>
          <w:szCs w:val="24"/>
        </w:rPr>
        <w:t>inoltre il Regolamento di contabilità dell’Ente;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Acquisito </w:t>
      </w:r>
      <w:r>
        <w:rPr>
          <w:rFonts w:cs="DejaVuSans" w:ascii="DejaVuSans" w:hAnsi="DejaVuSans"/>
          <w:kern w:val="0"/>
          <w:sz w:val="24"/>
          <w:szCs w:val="24"/>
        </w:rPr>
        <w:t>il parere favorevole, allegato al presente provvedimento, del Responsabile del Servizio Finanziario ex artt. 49 e 147-bis del D.Lgs. n. 267/2000;</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r>
    </w:p>
    <w:p>
      <w:pPr>
        <w:pStyle w:val="Normal"/>
        <w:spacing w:lineRule="auto" w:line="240" w:before="0" w:after="0"/>
        <w:jc w:val="center"/>
        <w:rPr>
          <w:rFonts w:ascii="DejaVuSans-Bold" w:hAnsi="DejaVuSans-Bold" w:cs="DejaVuSans-Bold"/>
          <w:b/>
          <w:b/>
          <w:bCs/>
          <w:kern w:val="0"/>
          <w:sz w:val="24"/>
          <w:szCs w:val="24"/>
        </w:rPr>
      </w:pPr>
      <w:r>
        <w:rPr>
          <w:rFonts w:cs="DejaVuSans-Bold" w:ascii="DejaVuSans-Bold" w:hAnsi="DejaVuSans-Bold"/>
          <w:b/>
          <w:bCs/>
          <w:kern w:val="0"/>
          <w:sz w:val="24"/>
          <w:szCs w:val="24"/>
        </w:rPr>
        <w:t>D E L I B E R A</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1) Di approvare </w:t>
      </w:r>
      <w:r>
        <w:rPr>
          <w:rFonts w:cs="DejaVuSans" w:ascii="DejaVuSans" w:hAnsi="DejaVuSans"/>
          <w:kern w:val="0"/>
          <w:sz w:val="24"/>
          <w:szCs w:val="24"/>
        </w:rPr>
        <w:t>il rendiconto dell’esercizio finanziario 2022 comprensivo dei seguenti allegati che costituiscono parte integrante e sostanziale della presente deliberazione: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All. 1 </w:t>
        <w:tab/>
        <w:t>Gestione delle entrate</w:t>
      </w:r>
    </w:p>
    <w:p>
      <w:pPr>
        <w:pStyle w:val="Normal"/>
        <w:spacing w:lineRule="auto" w:line="240" w:before="0" w:after="0"/>
        <w:ind w:firstLine="708"/>
        <w:jc w:val="both"/>
        <w:rPr>
          <w:rFonts w:ascii="DejaVuSans" w:hAnsi="DejaVuSans" w:cs="DejaVuSans"/>
          <w:kern w:val="0"/>
          <w:sz w:val="24"/>
          <w:szCs w:val="24"/>
        </w:rPr>
      </w:pPr>
      <w:r>
        <w:rPr>
          <w:rFonts w:cs="DejaVuSans" w:ascii="DejaVuSans" w:hAnsi="DejaVuSans"/>
          <w:kern w:val="0"/>
          <w:sz w:val="24"/>
          <w:szCs w:val="24"/>
        </w:rPr>
        <w:t>Riepilogo generale delle entrate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Entrate per titoli, tipologie e categorie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Accertamenti pluriennali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Gestione delle spese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Riepilogo generale delle spese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Riepilogo generale delle spese per missioni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Gestione delle spese – funzioni delegate dalle regioni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Gestione delle spese – utilizzo contributi e trasferimenti comunitari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Prospetto delle spese per missioni, programmi e macroaggregati – spese correnti – impegni</w:t>
      </w:r>
    </w:p>
    <w:p>
      <w:pPr>
        <w:pStyle w:val="Normal"/>
        <w:spacing w:lineRule="auto" w:line="240" w:before="0" w:after="0"/>
        <w:ind w:left="705" w:hanging="0"/>
        <w:jc w:val="both"/>
        <w:rPr>
          <w:rFonts w:ascii="DejaVuSans" w:hAnsi="DejaVuSans" w:cs="DejaVuSans"/>
          <w:kern w:val="0"/>
          <w:sz w:val="24"/>
          <w:szCs w:val="24"/>
        </w:rPr>
      </w:pPr>
      <w:r>
        <w:rPr>
          <w:rFonts w:cs="DejaVuSans" w:ascii="DejaVuSans" w:hAnsi="DejaVuSans"/>
          <w:kern w:val="0"/>
          <w:sz w:val="24"/>
          <w:szCs w:val="24"/>
        </w:rPr>
        <w:t>Prospetto delle spese per missioni, programmi e macroaggregati – spese correnti - pagamenti c/competenza</w:t>
      </w:r>
    </w:p>
    <w:p>
      <w:pPr>
        <w:pStyle w:val="Normal"/>
        <w:spacing w:lineRule="auto" w:line="240" w:before="0" w:after="0"/>
        <w:ind w:left="705" w:hanging="0"/>
        <w:jc w:val="both"/>
        <w:rPr>
          <w:rFonts w:ascii="DejaVuSans" w:hAnsi="DejaVuSans" w:cs="DejaVuSans"/>
          <w:kern w:val="0"/>
          <w:sz w:val="24"/>
          <w:szCs w:val="24"/>
        </w:rPr>
      </w:pPr>
      <w:r>
        <w:rPr>
          <w:rFonts w:cs="DejaVuSans" w:ascii="DejaVuSans" w:hAnsi="DejaVuSans"/>
          <w:kern w:val="0"/>
          <w:sz w:val="24"/>
          <w:szCs w:val="24"/>
        </w:rPr>
        <w:t xml:space="preserve">Prospetto delle spese per missioni, programmi e macroaggregati – spese correnti – pagamenti in c/residui </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 xml:space="preserve">Riepilogo spese per titoli e macroaggregati </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Impegni pluriennali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Verifica equilibri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Quadro generale riassuntivo</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Prospetto dimostrativo del risultato di amministrazione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Elenco previsioni e dei risultati secondo la struttura del piano dei conti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Composizione per missioni e programmi del fondo pluriennale vincolato dell’esercizio 2022</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 </w:t>
      </w:r>
      <w:r>
        <w:rPr>
          <w:rFonts w:cs="DejaVuSans" w:ascii="DejaVuSans" w:hAnsi="DejaVuSans"/>
          <w:kern w:val="0"/>
          <w:sz w:val="24"/>
          <w:szCs w:val="24"/>
        </w:rPr>
        <w:tab/>
        <w:t>Composizione dell’accantonamento al fondo crediti di dubbia esigibilità</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All.2: </w:t>
        <w:tab/>
        <w:t>Residui attivi e passivi complessivi da riportare per anno di provenienza</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All.3: </w:t>
        <w:tab/>
        <w:t>Prospetti Siope 2020 incassi e pagamenti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All.4</w:t>
        <w:tab/>
        <w:t>Piano degli indicatori di bilancio 2022</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All.5</w:t>
        <w:tab/>
        <w:t>Tabella per l’individuazione degli enti strutturalmente deficitari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 6</w:t>
        <w:tab/>
        <w:t>Stato patrimoniale semplificato 2022</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All.7</w:t>
        <w:tab/>
        <w:t>Inventario al 31 12 2022</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All.8</w:t>
        <w:tab/>
        <w:t>Asseverazione Società Partecipate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 9</w:t>
        <w:tab/>
        <w:t>Relazione sulla Gestione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All.10</w:t>
        <w:tab/>
        <w:t>Attestazione Spese di Rappresentanza</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 11</w:t>
        <w:tab/>
        <w:t xml:space="preserve">Spesa sociale </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 12</w:t>
        <w:tab/>
        <w:t>Relazione Codice della strada 2022</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 13</w:t>
        <w:tab/>
        <w:t>Insussistenza debiti fuori bilancio UTC</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 14</w:t>
        <w:tab/>
        <w:t>Insussistenza debiti fuori bilancio Area Amm Contabile</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 15 Delibera Salvaguardia Equilibri Bilancio</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All 16 Delibera Riaccertamento Residui </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All 17 Determine Agenti Contabili</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 xml:space="preserve">All 18 Parere Revisore Contabile </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2) Di dare atto </w:t>
      </w:r>
      <w:r>
        <w:rPr>
          <w:rFonts w:cs="DejaVuSans" w:ascii="DejaVuSans" w:hAnsi="DejaVuSans"/>
          <w:kern w:val="0"/>
          <w:sz w:val="24"/>
          <w:szCs w:val="24"/>
        </w:rPr>
        <w:t>che è stata esercitata l’opzione concessa dall’articolo 232 comma 2 del Decreto legislativo 18/08/2000 n. 267;</w:t>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3) Di approvare </w:t>
      </w:r>
      <w:r>
        <w:rPr>
          <w:rFonts w:cs="DejaVuSans" w:ascii="DejaVuSans" w:hAnsi="DejaVuSans"/>
          <w:kern w:val="0"/>
          <w:sz w:val="24"/>
          <w:szCs w:val="24"/>
        </w:rPr>
        <w:t>le risultanze dello Stato patrimoniale al 31 dicembre 2022, così come risulta dagli elaborati allegati;</w:t>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4) Di approvare </w:t>
      </w:r>
      <w:r>
        <w:rPr>
          <w:rFonts w:cs="DejaVuSans" w:ascii="DejaVuSans" w:hAnsi="DejaVuSans"/>
          <w:kern w:val="0"/>
          <w:sz w:val="24"/>
          <w:szCs w:val="24"/>
        </w:rPr>
        <w:t>la relazione della Giunta Comunale sulla gestione, come previsto dagli art. 151 e 231 del D.Lgs. 267/2000, allegata e parte integrante e sostanziale della presente deliberazione;</w:t>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5) Di dare atto </w:t>
      </w:r>
      <w:r>
        <w:rPr>
          <w:rFonts w:cs="DejaVuSans" w:ascii="DejaVuSans" w:hAnsi="DejaVuSans"/>
          <w:kern w:val="0"/>
          <w:sz w:val="24"/>
          <w:szCs w:val="24"/>
        </w:rPr>
        <w:t>che al conto del bilancio sono annessi la tabella dei parametri di riscontro della situazione di deficitarietà strutturale e il piano degli indicatori e dei risultati di bilancio, di cui all’art. 227 comma 5 del D.Lgs. 267/2000;</w:t>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6) Di dare atto </w:t>
      </w:r>
      <w:r>
        <w:rPr>
          <w:rFonts w:cs="DejaVuSans" w:ascii="DejaVuSans" w:hAnsi="DejaVuSans"/>
          <w:kern w:val="0"/>
          <w:sz w:val="24"/>
          <w:szCs w:val="24"/>
        </w:rPr>
        <w:t xml:space="preserve">che, sul presente atto, sono stati acquisiti i pareri in ordine alla regolarità tecnica e contabile, previsti dall’art. 49 del D.Lgs. 18 agosto 2000, n. 267 </w:t>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r>
    </w:p>
    <w:p>
      <w:pPr>
        <w:pStyle w:val="Normal"/>
        <w:spacing w:lineRule="auto" w:line="240" w:before="0" w:after="0"/>
        <w:jc w:val="both"/>
        <w:rPr>
          <w:rFonts w:ascii="DejaVuSans" w:hAnsi="DejaVuSans" w:cs="DejaVuSans"/>
          <w:kern w:val="0"/>
          <w:sz w:val="24"/>
          <w:szCs w:val="24"/>
        </w:rPr>
      </w:pPr>
      <w:r>
        <w:rPr>
          <w:rFonts w:cs="DejaVuSans" w:ascii="DejaVuSans" w:hAnsi="DejaVuSans"/>
          <w:kern w:val="0"/>
          <w:sz w:val="24"/>
          <w:szCs w:val="24"/>
        </w:rPr>
        <w:t>Successivamente, considerata l’urgenza di provvedere al fine di dare attuazione al presente provvedimento, il Sindaco pone in votazione l’immediata eseguibilità del presente atto, che ottiene il seguente esito:</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t xml:space="preserve"> </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t xml:space="preserve">Il consiglio comunale </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t>DEL I B E R A</w:t>
      </w:r>
    </w:p>
    <w:p>
      <w:pPr>
        <w:pStyle w:val="Normal"/>
        <w:spacing w:lineRule="auto" w:line="240" w:before="0" w:after="0"/>
        <w:jc w:val="both"/>
        <w:rPr>
          <w:rFonts w:ascii="DejaVuSans-Bold" w:hAnsi="DejaVuSans-Bold" w:cs="DejaVuSans-Bold"/>
          <w:b/>
          <w:b/>
          <w:bCs/>
          <w:kern w:val="0"/>
          <w:sz w:val="24"/>
          <w:szCs w:val="24"/>
        </w:rPr>
      </w:pPr>
      <w:r>
        <w:rPr>
          <w:rFonts w:cs="DejaVuSans-Bold" w:ascii="DejaVuSans-Bold" w:hAnsi="DejaVuSans-Bold"/>
          <w:b/>
          <w:bCs/>
          <w:kern w:val="0"/>
          <w:sz w:val="24"/>
          <w:szCs w:val="24"/>
        </w:rPr>
      </w:r>
    </w:p>
    <w:p>
      <w:pPr>
        <w:pStyle w:val="Normal"/>
        <w:spacing w:lineRule="auto" w:line="240" w:before="0" w:after="0"/>
        <w:jc w:val="both"/>
        <w:rPr>
          <w:rFonts w:ascii="DejaVuSans" w:hAnsi="DejaVuSans" w:cs="DejaVuSans"/>
          <w:kern w:val="0"/>
          <w:sz w:val="24"/>
          <w:szCs w:val="24"/>
        </w:rPr>
      </w:pPr>
      <w:r>
        <w:rPr>
          <w:rFonts w:cs="DejaVuSans-Bold" w:ascii="DejaVuSans-Bold" w:hAnsi="DejaVuSans-Bold"/>
          <w:b/>
          <w:bCs/>
          <w:kern w:val="0"/>
          <w:sz w:val="24"/>
          <w:szCs w:val="24"/>
        </w:rPr>
        <w:t xml:space="preserve">Di dichiarare </w:t>
      </w:r>
      <w:r>
        <w:rPr>
          <w:rFonts w:cs="DejaVuSans" w:ascii="DejaVuSans" w:hAnsi="DejaVuSans"/>
          <w:kern w:val="0"/>
          <w:sz w:val="24"/>
          <w:szCs w:val="24"/>
        </w:rPr>
        <w:t>la presente deliberazione immediatamente eseguibile, ai sensi dell’art. 134, 4° comma del TUEL D.Lgs. n. 267/2000.</w:t>
      </w:r>
    </w:p>
    <w:p>
      <w:pPr>
        <w:pStyle w:val="Normal"/>
        <w:spacing w:before="0" w:after="160"/>
        <w:jc w:val="both"/>
        <w:rPr>
          <w:sz w:val="24"/>
          <w:szCs w:val="24"/>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Arial-BoldMT">
    <w:charset w:val="00"/>
    <w:family w:val="roman"/>
    <w:pitch w:val="variable"/>
  </w:font>
  <w:font w:name="DejaVuSans-Bold">
    <w:charset w:val="00"/>
    <w:family w:val="roman"/>
    <w:pitch w:val="variable"/>
  </w:font>
  <w:font w:name="DejaVuSans">
    <w:charset w:val="00"/>
    <w:family w:val="roman"/>
    <w:pitch w:val="variable"/>
  </w:font>
  <w:font w:name="DejaVuSans-Oblique">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LibreOffice/7.0.3.1$Windows_X86_64 LibreOffice_project/d7547858d014d4cf69878db179d326fc3483e082</Application>
  <Pages>5</Pages>
  <Words>1196</Words>
  <Characters>6932</Characters>
  <CharactersWithSpaces>8107</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2023-04-26T07:46:00Z</dcterms:created>
  <dc:creator>Furietta</dc:creator>
  <dc:description/>
  <dc:language>it-IT</dc:language>
  <cp:lastModifiedBy/>
  <dcterms:modified xsi:type="dcterms:W3CDTF">2023-05-26T10:33:15Z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